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5DD" w:rsidRPr="002935DD" w:rsidRDefault="002935DD" w:rsidP="002935DD">
      <w:pPr>
        <w:widowControl w:val="0"/>
        <w:numPr>
          <w:ilvl w:val="1"/>
          <w:numId w:val="1"/>
        </w:numPr>
        <w:tabs>
          <w:tab w:val="right" w:pos="-5103"/>
        </w:tabs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Лекция 7.</w:t>
      </w:r>
      <w:r w:rsidRPr="002935DD">
        <w:rPr>
          <w:sz w:val="20"/>
          <w:szCs w:val="20"/>
        </w:rPr>
        <w:t xml:space="preserve"> ОГРАНИЧЕНИЕ ПРИРОДНОГО ОБЛУЧЕНИЯ</w:t>
      </w:r>
    </w:p>
    <w:p w:rsidR="002935DD" w:rsidRPr="00C4302E" w:rsidRDefault="002935DD" w:rsidP="002935DD">
      <w:pPr>
        <w:widowControl w:val="0"/>
        <w:tabs>
          <w:tab w:val="right" w:pos="-5103"/>
          <w:tab w:val="left" w:pos="1134"/>
        </w:tabs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Допустимое значение эффективной дозы, обусловленной суммарным воздействием природных источников излучения, для населения не устанавливается. Снижение облучения населения достигается путем установления системы ограничений на облучение населения от отдельных природных источников излучения.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При проектировании новых зданий жилищного и общественного значения должно быть предусмотрено, чтобы среднегодовая эквивалентная равновесная объемная активност</w:t>
      </w:r>
      <w:proofErr w:type="gramStart"/>
      <w:r w:rsidRPr="00C4302E">
        <w:rPr>
          <w:sz w:val="20"/>
          <w:szCs w:val="20"/>
        </w:rPr>
        <w:t>ь(</w:t>
      </w:r>
      <w:proofErr w:type="gramEnd"/>
      <w:r w:rsidRPr="00C4302E">
        <w:rPr>
          <w:sz w:val="20"/>
          <w:szCs w:val="20"/>
        </w:rPr>
        <w:t xml:space="preserve">ЭРОА)  дочерних продуктов радона и </w:t>
      </w:r>
      <w:proofErr w:type="spellStart"/>
      <w:r w:rsidRPr="00C4302E">
        <w:rPr>
          <w:sz w:val="20"/>
          <w:szCs w:val="20"/>
        </w:rPr>
        <w:t>торона</w:t>
      </w:r>
      <w:proofErr w:type="spellEnd"/>
      <w:r>
        <w:rPr>
          <w:sz w:val="20"/>
          <w:szCs w:val="20"/>
        </w:rPr>
        <w:t xml:space="preserve"> (родон-220)</w:t>
      </w:r>
      <w:r w:rsidRPr="00C4302E">
        <w:rPr>
          <w:sz w:val="20"/>
          <w:szCs w:val="20"/>
        </w:rPr>
        <w:t xml:space="preserve"> в воздухе помещений ЭРОА</w:t>
      </w:r>
      <w:proofErr w:type="spellStart"/>
      <w:r w:rsidRPr="00C4302E">
        <w:rPr>
          <w:sz w:val="20"/>
          <w:szCs w:val="20"/>
          <w:vertAlign w:val="subscript"/>
          <w:lang w:val="en-US"/>
        </w:rPr>
        <w:t>Rn</w:t>
      </w:r>
      <w:proofErr w:type="spellEnd"/>
      <w:r w:rsidRPr="00C4302E">
        <w:rPr>
          <w:sz w:val="20"/>
          <w:szCs w:val="20"/>
          <w:vertAlign w:val="subscript"/>
        </w:rPr>
        <w:t xml:space="preserve"> </w:t>
      </w:r>
      <w:r w:rsidRPr="00C4302E">
        <w:rPr>
          <w:sz w:val="20"/>
          <w:szCs w:val="20"/>
        </w:rPr>
        <w:t>+ 4,6 ЭРОА</w:t>
      </w:r>
      <w:proofErr w:type="spellStart"/>
      <w:r w:rsidRPr="00C4302E">
        <w:rPr>
          <w:sz w:val="20"/>
          <w:szCs w:val="20"/>
          <w:vertAlign w:val="subscript"/>
          <w:lang w:val="en-US"/>
        </w:rPr>
        <w:t>Th</w:t>
      </w:r>
      <w:proofErr w:type="spellEnd"/>
      <w:r w:rsidRPr="00C4302E">
        <w:rPr>
          <w:sz w:val="20"/>
          <w:szCs w:val="20"/>
          <w:lang w:val="kk-KZ"/>
        </w:rPr>
        <w:t xml:space="preserve">  не превышала 100 Бк/м</w:t>
      </w:r>
      <w:r w:rsidRPr="00C4302E">
        <w:rPr>
          <w:sz w:val="20"/>
          <w:szCs w:val="20"/>
          <w:vertAlign w:val="superscript"/>
          <w:lang w:val="kk-KZ"/>
        </w:rPr>
        <w:t>3</w:t>
      </w:r>
      <w:r w:rsidRPr="00C4302E">
        <w:rPr>
          <w:sz w:val="20"/>
          <w:szCs w:val="20"/>
          <w:lang w:val="kk-KZ"/>
        </w:rPr>
        <w:t>, а мощность эффективной дозы гамма-излучения не превышала мощность дозы на открытой местности более чем на 0,2 мкЗв/ч.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В эксплуатируемых зданиях среднегодовая эквивалентная равновесная объемная активность дочерних продуктов радона и </w:t>
      </w:r>
      <w:proofErr w:type="spellStart"/>
      <w:r w:rsidRPr="00C4302E">
        <w:rPr>
          <w:sz w:val="20"/>
          <w:szCs w:val="20"/>
        </w:rPr>
        <w:t>торона</w:t>
      </w:r>
      <w:proofErr w:type="spellEnd"/>
      <w:r w:rsidRPr="00C4302E">
        <w:rPr>
          <w:sz w:val="20"/>
          <w:szCs w:val="20"/>
        </w:rPr>
        <w:t xml:space="preserve"> в воздухе жилых помещений не должна превышать 200 </w:t>
      </w:r>
      <w:r w:rsidRPr="00C4302E">
        <w:rPr>
          <w:sz w:val="20"/>
          <w:szCs w:val="20"/>
          <w:lang w:val="kk-KZ"/>
        </w:rPr>
        <w:t>Бк/м</w:t>
      </w:r>
      <w:r w:rsidRPr="00C4302E">
        <w:rPr>
          <w:sz w:val="20"/>
          <w:szCs w:val="20"/>
          <w:vertAlign w:val="superscript"/>
          <w:lang w:val="kk-KZ"/>
        </w:rPr>
        <w:t>3</w:t>
      </w:r>
      <w:r w:rsidRPr="00C4302E">
        <w:rPr>
          <w:sz w:val="20"/>
          <w:szCs w:val="20"/>
          <w:lang w:val="kk-KZ"/>
        </w:rPr>
        <w:t xml:space="preserve">. при более высоких значениях объемной активности должны </w:t>
      </w:r>
      <w:proofErr w:type="gramStart"/>
      <w:r w:rsidRPr="00C4302E">
        <w:rPr>
          <w:sz w:val="20"/>
          <w:szCs w:val="20"/>
          <w:lang w:val="kk-KZ"/>
        </w:rPr>
        <w:t>проводится</w:t>
      </w:r>
      <w:proofErr w:type="gramEnd"/>
      <w:r w:rsidRPr="00C4302E">
        <w:rPr>
          <w:sz w:val="20"/>
          <w:szCs w:val="20"/>
          <w:lang w:val="kk-KZ"/>
        </w:rPr>
        <w:t xml:space="preserve"> защитные мероприятия, направленные на снижение поступления родона в воздух помещений и улучшение вентиляции помещений. Защитные мероприятия должны проводится также, если мощность эффективной  дозы гамма-излучения в помещениях превышвет мощность дозы на открытой  местности более чем на 0,2 мкЗв/ч.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Эффективная удельная активность (</w:t>
      </w:r>
      <w:proofErr w:type="spellStart"/>
      <w:r w:rsidRPr="00C4302E">
        <w:rPr>
          <w:sz w:val="20"/>
          <w:szCs w:val="20"/>
        </w:rPr>
        <w:t>А</w:t>
      </w:r>
      <w:r w:rsidRPr="00C4302E">
        <w:rPr>
          <w:sz w:val="20"/>
          <w:szCs w:val="20"/>
          <w:vertAlign w:val="subscript"/>
        </w:rPr>
        <w:t>эфф</w:t>
      </w:r>
      <w:proofErr w:type="spellEnd"/>
      <w:r w:rsidRPr="00C4302E">
        <w:rPr>
          <w:sz w:val="20"/>
          <w:szCs w:val="20"/>
        </w:rPr>
        <w:t xml:space="preserve">) природных радионуклидов в строительных материалах (щебень, гравий, песок, бутовый и </w:t>
      </w:r>
      <w:proofErr w:type="spellStart"/>
      <w:r w:rsidRPr="00C4302E">
        <w:rPr>
          <w:sz w:val="20"/>
          <w:szCs w:val="20"/>
        </w:rPr>
        <w:t>пилонный</w:t>
      </w:r>
      <w:proofErr w:type="spellEnd"/>
      <w:r w:rsidRPr="00C4302E">
        <w:rPr>
          <w:sz w:val="20"/>
          <w:szCs w:val="20"/>
        </w:rPr>
        <w:t xml:space="preserve"> камень, цементное и кирпичное сырье и пр.), добываемых на их месторождениях или являющихся побочным продуктом промышленности, а также отходы промышленного производства, используемые для изготовления строительных материалов (золы, шлаки и пр.), не должна превышать:</w:t>
      </w:r>
    </w:p>
    <w:p w:rsidR="002935DD" w:rsidRPr="00C4302E" w:rsidRDefault="002935DD" w:rsidP="002935DD">
      <w:pPr>
        <w:widowControl w:val="0"/>
        <w:numPr>
          <w:ilvl w:val="1"/>
          <w:numId w:val="2"/>
        </w:numPr>
        <w:tabs>
          <w:tab w:val="right" w:pos="-5103"/>
          <w:tab w:val="num" w:pos="851"/>
        </w:tabs>
        <w:autoSpaceDE w:val="0"/>
        <w:autoSpaceDN w:val="0"/>
        <w:adjustRightInd w:val="0"/>
        <w:ind w:left="0"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материалов, используемых в строящихся и реконструируемых жилых и общественных зданиях (1 класс):</w:t>
      </w:r>
      <w:r>
        <w:rPr>
          <w:sz w:val="20"/>
          <w:szCs w:val="20"/>
        </w:rPr>
        <w:t xml:space="preserve"> 370 Бк/кг</w:t>
      </w:r>
    </w:p>
    <w:p w:rsidR="002935DD" w:rsidRPr="00C4302E" w:rsidRDefault="002935DD" w:rsidP="002935DD">
      <w:pPr>
        <w:widowControl w:val="0"/>
        <w:numPr>
          <w:ilvl w:val="1"/>
          <w:numId w:val="2"/>
        </w:numPr>
        <w:tabs>
          <w:tab w:val="right" w:pos="-5103"/>
          <w:tab w:val="num" w:pos="851"/>
        </w:tabs>
        <w:autoSpaceDE w:val="0"/>
        <w:autoSpaceDN w:val="0"/>
        <w:adjustRightInd w:val="0"/>
        <w:ind w:left="0"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материалов, используемых в дорожном строительстве в пределах территории населенных пунктов и зон перспективной застройки, а также при возведении производственных сооружений (</w:t>
      </w:r>
      <w:r w:rsidRPr="00C4302E">
        <w:rPr>
          <w:sz w:val="20"/>
          <w:szCs w:val="20"/>
          <w:lang w:val="en-US"/>
        </w:rPr>
        <w:t>II</w:t>
      </w:r>
      <w:r w:rsidRPr="00C4302E">
        <w:rPr>
          <w:sz w:val="20"/>
          <w:szCs w:val="20"/>
        </w:rPr>
        <w:t xml:space="preserve"> класс):</w:t>
      </w:r>
      <w:r>
        <w:rPr>
          <w:sz w:val="20"/>
          <w:szCs w:val="20"/>
        </w:rPr>
        <w:t xml:space="preserve"> 740 Бк/кг</w:t>
      </w:r>
    </w:p>
    <w:p w:rsidR="002935DD" w:rsidRPr="00C4302E" w:rsidRDefault="002935DD" w:rsidP="002935DD">
      <w:pPr>
        <w:widowControl w:val="0"/>
        <w:numPr>
          <w:ilvl w:val="1"/>
          <w:numId w:val="2"/>
        </w:numPr>
        <w:tabs>
          <w:tab w:val="right" w:pos="-5103"/>
          <w:tab w:val="num" w:pos="851"/>
        </w:tabs>
        <w:autoSpaceDE w:val="0"/>
        <w:autoSpaceDN w:val="0"/>
        <w:adjustRightInd w:val="0"/>
        <w:ind w:left="0"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материалов, используемых в дорожном строительстве вне населенных пунктов (</w:t>
      </w:r>
      <w:r w:rsidRPr="00C4302E">
        <w:rPr>
          <w:sz w:val="20"/>
          <w:szCs w:val="20"/>
          <w:lang w:val="en-US"/>
        </w:rPr>
        <w:t>III</w:t>
      </w:r>
      <w:r w:rsidRPr="00C4302E">
        <w:rPr>
          <w:sz w:val="20"/>
          <w:szCs w:val="20"/>
        </w:rPr>
        <w:t xml:space="preserve"> класс):</w:t>
      </w:r>
      <w:r>
        <w:rPr>
          <w:sz w:val="20"/>
          <w:szCs w:val="20"/>
        </w:rPr>
        <w:t xml:space="preserve"> 1,5 </w:t>
      </w:r>
      <w:proofErr w:type="spellStart"/>
      <w:r>
        <w:rPr>
          <w:sz w:val="20"/>
          <w:szCs w:val="20"/>
        </w:rPr>
        <w:t>кБк</w:t>
      </w:r>
      <w:proofErr w:type="spellEnd"/>
      <w:r>
        <w:rPr>
          <w:sz w:val="20"/>
          <w:szCs w:val="20"/>
        </w:rPr>
        <w:t>/кг.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П</w:t>
      </w:r>
      <w:r w:rsidRPr="00C4302E">
        <w:rPr>
          <w:sz w:val="20"/>
          <w:szCs w:val="20"/>
        </w:rPr>
        <w:t xml:space="preserve">ри  </w:t>
      </w:r>
      <w:r w:rsidRPr="00C4302E">
        <w:rPr>
          <w:i/>
          <w:sz w:val="20"/>
          <w:szCs w:val="20"/>
        </w:rPr>
        <w:t xml:space="preserve">1,5 </w:t>
      </w:r>
      <w:proofErr w:type="spellStart"/>
      <w:r w:rsidRPr="00C4302E">
        <w:rPr>
          <w:i/>
          <w:sz w:val="20"/>
          <w:szCs w:val="20"/>
        </w:rPr>
        <w:t>кБк</w:t>
      </w:r>
      <w:proofErr w:type="spellEnd"/>
      <w:r w:rsidRPr="00C4302E">
        <w:rPr>
          <w:i/>
          <w:sz w:val="20"/>
          <w:szCs w:val="20"/>
        </w:rPr>
        <w:t>/кг</w:t>
      </w:r>
      <w:r w:rsidRPr="00B971C1">
        <w:rPr>
          <w:position w:val="-16"/>
          <w:sz w:val="16"/>
          <w:szCs w:val="16"/>
          <w:lang w:eastAsia="zh-CN"/>
        </w:rPr>
        <w:object w:dxaOrig="209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17.25pt" o:ole="">
            <v:imagedata r:id="rId5" o:title=""/>
          </v:shape>
          <o:OLEObject Type="Embed" ProgID="Equation.3" ShapeID="_x0000_i1025" DrawAspect="Content" ObjectID="_1547317408" r:id="rId6"/>
        </w:object>
      </w:r>
      <w:r w:rsidRPr="00C4302E">
        <w:rPr>
          <w:sz w:val="20"/>
          <w:szCs w:val="20"/>
        </w:rPr>
        <w:t>(</w:t>
      </w:r>
      <w:r w:rsidRPr="00C4302E">
        <w:rPr>
          <w:sz w:val="20"/>
          <w:szCs w:val="20"/>
          <w:lang w:val="en-US"/>
        </w:rPr>
        <w:t>IV</w:t>
      </w:r>
      <w:r w:rsidRPr="00C4302E">
        <w:rPr>
          <w:sz w:val="20"/>
          <w:szCs w:val="20"/>
        </w:rPr>
        <w:t xml:space="preserve"> класс) вопрос об использовании материалов решается в каждом случае отдельно по согласованию с территориальными органами </w:t>
      </w:r>
      <w:proofErr w:type="spellStart"/>
      <w:r w:rsidRPr="00C4302E">
        <w:rPr>
          <w:sz w:val="20"/>
          <w:szCs w:val="20"/>
        </w:rPr>
        <w:t>госсанэпидемслужбы</w:t>
      </w:r>
      <w:proofErr w:type="spellEnd"/>
      <w:r w:rsidRPr="00C4302E">
        <w:rPr>
          <w:sz w:val="20"/>
          <w:szCs w:val="20"/>
        </w:rPr>
        <w:t xml:space="preserve"> Республики Казахстан, не ниже областного уровня.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ab/>
      </w:r>
      <w:proofErr w:type="gramStart"/>
      <w:r w:rsidRPr="00C4302E">
        <w:rPr>
          <w:sz w:val="20"/>
          <w:szCs w:val="20"/>
        </w:rPr>
        <w:t>При</w:t>
      </w:r>
      <w:proofErr w:type="gramEnd"/>
      <w:r w:rsidRPr="00C4302E">
        <w:rPr>
          <w:sz w:val="20"/>
          <w:szCs w:val="20"/>
        </w:rPr>
        <w:t xml:space="preserve"> </w:t>
      </w:r>
      <w:r w:rsidRPr="00C4302E">
        <w:rPr>
          <w:position w:val="-16"/>
          <w:sz w:val="20"/>
          <w:szCs w:val="20"/>
          <w:lang w:eastAsia="zh-CN"/>
        </w:rPr>
        <w:object w:dxaOrig="2099" w:dyaOrig="420">
          <v:shape id="_x0000_i1026" type="#_x0000_t75" style="width:81pt;height:15.75pt" o:ole="">
            <v:imagedata r:id="rId7" o:title=""/>
          </v:shape>
          <o:OLEObject Type="Embed" ProgID="Equation.3" ShapeID="_x0000_i1026" DrawAspect="Content" ObjectID="_1547317409" r:id="rId8"/>
        </w:object>
      </w:r>
      <w:r w:rsidRPr="00C4302E">
        <w:rPr>
          <w:sz w:val="20"/>
          <w:szCs w:val="20"/>
        </w:rPr>
        <w:t xml:space="preserve"> материалы не должны использоваться в  строительстве.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72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При содержании природных и искусственных радионуклидов в питьевой воде, создающих эффективную дозу меньше 0,1 </w:t>
      </w:r>
      <w:proofErr w:type="spellStart"/>
      <w:r w:rsidRPr="00C4302E">
        <w:rPr>
          <w:sz w:val="20"/>
          <w:szCs w:val="20"/>
        </w:rPr>
        <w:t>мЗв</w:t>
      </w:r>
      <w:proofErr w:type="spellEnd"/>
      <w:r w:rsidRPr="00C4302E">
        <w:rPr>
          <w:sz w:val="20"/>
          <w:szCs w:val="20"/>
        </w:rPr>
        <w:t xml:space="preserve"> за год, не требуется проведение мероприятий по снижению её радиоактивности. </w:t>
      </w:r>
    </w:p>
    <w:p w:rsidR="002935DD" w:rsidRPr="00C4302E" w:rsidRDefault="002935DD" w:rsidP="002935DD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Предварительная оценка допустимости использования воды для питьевых целей может быть дана по удельной суммарной альфа (</w:t>
      </w:r>
      <w:proofErr w:type="spellStart"/>
      <w:r w:rsidRPr="00C4302E">
        <w:rPr>
          <w:sz w:val="20"/>
          <w:szCs w:val="20"/>
        </w:rPr>
        <w:t>А</w:t>
      </w:r>
      <w:r w:rsidRPr="00C4302E">
        <w:rPr>
          <w:sz w:val="20"/>
          <w:szCs w:val="20"/>
          <w:vertAlign w:val="subscript"/>
        </w:rPr>
        <w:t>а</w:t>
      </w:r>
      <w:proofErr w:type="spellEnd"/>
      <w:r w:rsidRPr="00C4302E">
        <w:rPr>
          <w:sz w:val="20"/>
          <w:szCs w:val="20"/>
        </w:rPr>
        <w:t>) – и бета (А</w:t>
      </w:r>
      <w:proofErr w:type="gramStart"/>
      <w:r w:rsidRPr="00C4302E">
        <w:rPr>
          <w:sz w:val="20"/>
          <w:szCs w:val="20"/>
          <w:vertAlign w:val="subscript"/>
          <w:lang w:val="en-US"/>
        </w:rPr>
        <w:t>b</w:t>
      </w:r>
      <w:proofErr w:type="gramEnd"/>
      <w:r w:rsidRPr="00C4302E">
        <w:rPr>
          <w:sz w:val="20"/>
          <w:szCs w:val="20"/>
        </w:rPr>
        <w:t xml:space="preserve">) - активности, которая не должна превышать 0,1 и 1,0 Бк/кг соответственно. При возможном присутствии в воде </w:t>
      </w:r>
      <w:r w:rsidRPr="00C4302E">
        <w:rPr>
          <w:position w:val="-10"/>
          <w:sz w:val="20"/>
          <w:szCs w:val="20"/>
          <w:lang w:eastAsia="zh-CN"/>
        </w:rPr>
        <w:object w:dxaOrig="520" w:dyaOrig="440">
          <v:shape id="_x0000_i1027" type="#_x0000_t75" style="width:18.75pt;height:15.75pt" o:ole="">
            <v:imagedata r:id="rId9" o:title=""/>
          </v:shape>
          <o:OLEObject Type="Embed" ProgID="Equation.3" ShapeID="_x0000_i1027" DrawAspect="Content" ObjectID="_1547317410" r:id="rId10"/>
        </w:object>
      </w:r>
      <w:r w:rsidRPr="00C4302E">
        <w:rPr>
          <w:sz w:val="20"/>
          <w:szCs w:val="20"/>
        </w:rPr>
        <w:t xml:space="preserve"> </w:t>
      </w:r>
      <w:r w:rsidRPr="00C4302E">
        <w:rPr>
          <w:position w:val="-6"/>
          <w:sz w:val="20"/>
          <w:szCs w:val="20"/>
          <w:lang w:eastAsia="zh-CN"/>
        </w:rPr>
        <w:object w:dxaOrig="500" w:dyaOrig="400">
          <v:shape id="_x0000_i1028" type="#_x0000_t75" style="width:18pt;height:14.25pt" o:ole="">
            <v:imagedata r:id="rId11" o:title=""/>
          </v:shape>
          <o:OLEObject Type="Embed" ProgID="Equation.3" ShapeID="_x0000_i1028" DrawAspect="Content" ObjectID="_1547317411" r:id="rId12"/>
        </w:object>
      </w:r>
      <w:r w:rsidRPr="00C4302E">
        <w:rPr>
          <w:sz w:val="20"/>
          <w:szCs w:val="20"/>
        </w:rPr>
        <w:t xml:space="preserve">, </w:t>
      </w:r>
      <w:r w:rsidRPr="00C4302E">
        <w:rPr>
          <w:position w:val="-4"/>
          <w:sz w:val="20"/>
          <w:szCs w:val="20"/>
          <w:lang w:eastAsia="zh-CN"/>
        </w:rPr>
        <w:object w:dxaOrig="540" w:dyaOrig="380">
          <v:shape id="_x0000_i1029" type="#_x0000_t75" style="width:20.25pt;height:14.25pt" o:ole="">
            <v:imagedata r:id="rId13" o:title=""/>
          </v:shape>
          <o:OLEObject Type="Embed" ProgID="Equation.3" ShapeID="_x0000_i1029" DrawAspect="Content" ObjectID="_1547317412" r:id="rId14"/>
        </w:object>
      </w:r>
      <w:r w:rsidRPr="00C4302E">
        <w:rPr>
          <w:sz w:val="20"/>
          <w:szCs w:val="20"/>
        </w:rPr>
        <w:t xml:space="preserve">, </w:t>
      </w:r>
      <w:r w:rsidRPr="00C4302E">
        <w:rPr>
          <w:position w:val="-6"/>
          <w:sz w:val="20"/>
          <w:szCs w:val="20"/>
          <w:lang w:eastAsia="zh-CN"/>
        </w:rPr>
        <w:object w:dxaOrig="760" w:dyaOrig="400">
          <v:shape id="_x0000_i1030" type="#_x0000_t75" style="width:27.75pt;height:14.25pt" o:ole="">
            <v:imagedata r:id="rId15" o:title=""/>
          </v:shape>
          <o:OLEObject Type="Embed" ProgID="Equation.3" ShapeID="_x0000_i1030" DrawAspect="Content" ObjectID="_1547317413" r:id="rId16"/>
        </w:object>
      </w:r>
      <w:r w:rsidRPr="00C4302E">
        <w:rPr>
          <w:sz w:val="20"/>
          <w:szCs w:val="20"/>
        </w:rPr>
        <w:t xml:space="preserve">, </w:t>
      </w:r>
      <w:r w:rsidRPr="00C4302E">
        <w:rPr>
          <w:position w:val="-6"/>
          <w:sz w:val="20"/>
          <w:szCs w:val="20"/>
          <w:lang w:eastAsia="zh-CN"/>
        </w:rPr>
        <w:object w:dxaOrig="760" w:dyaOrig="400">
          <v:shape id="_x0000_i1031" type="#_x0000_t75" style="width:26.25pt;height:14.25pt" o:ole="">
            <v:imagedata r:id="rId17" o:title=""/>
          </v:shape>
          <o:OLEObject Type="Embed" ProgID="Equation.3" ShapeID="_x0000_i1031" DrawAspect="Content" ObjectID="_1547317414" r:id="rId18"/>
        </w:object>
      </w:r>
      <w:r w:rsidRPr="00C4302E">
        <w:rPr>
          <w:sz w:val="20"/>
          <w:szCs w:val="20"/>
        </w:rPr>
        <w:t xml:space="preserve"> и </w:t>
      </w:r>
      <w:r w:rsidRPr="00C4302E">
        <w:rPr>
          <w:position w:val="-6"/>
          <w:sz w:val="20"/>
          <w:szCs w:val="20"/>
          <w:lang w:eastAsia="zh-CN"/>
        </w:rPr>
        <w:object w:dxaOrig="720" w:dyaOrig="400">
          <v:shape id="_x0000_i1032" type="#_x0000_t75" style="width:27pt;height:15pt" o:ole="">
            <v:imagedata r:id="rId19" o:title=""/>
          </v:shape>
          <o:OLEObject Type="Embed" ProgID="Equation.3" ShapeID="_x0000_i1032" DrawAspect="Content" ObjectID="_1547317415" r:id="rId20"/>
        </w:object>
      </w:r>
      <w:r w:rsidRPr="00C4302E">
        <w:rPr>
          <w:sz w:val="20"/>
          <w:szCs w:val="20"/>
        </w:rPr>
        <w:t xml:space="preserve"> определение удельной активности этих радионуклидов в воде является обязательным.</w:t>
      </w:r>
      <w:r>
        <w:rPr>
          <w:sz w:val="20"/>
          <w:szCs w:val="20"/>
        </w:rPr>
        <w:t xml:space="preserve"> </w:t>
      </w:r>
      <w:r w:rsidRPr="00C4302E">
        <w:rPr>
          <w:sz w:val="20"/>
          <w:szCs w:val="20"/>
        </w:rPr>
        <w:t>Для минеральных и лечебных вод устанавливаются специальные нормативы.</w:t>
      </w:r>
    </w:p>
    <w:p w:rsidR="002935DD" w:rsidRDefault="002935DD" w:rsidP="002935DD"/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273FA"/>
    <w:multiLevelType w:val="hybridMultilevel"/>
    <w:tmpl w:val="FBF6D1AC"/>
    <w:lvl w:ilvl="0" w:tplc="B9CA17E8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</w:lvl>
    <w:lvl w:ilvl="1" w:tplc="666EF43A">
      <w:start w:val="1"/>
      <w:numFmt w:val="bullet"/>
      <w:lvlText w:val=""/>
      <w:lvlJc w:val="left"/>
      <w:pPr>
        <w:tabs>
          <w:tab w:val="num" w:pos="1786"/>
        </w:tabs>
        <w:ind w:left="1429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7E317E"/>
    <w:multiLevelType w:val="hybridMultilevel"/>
    <w:tmpl w:val="95A41C66"/>
    <w:lvl w:ilvl="0" w:tplc="D97AB0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904E910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FDC307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AE800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6C28FB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C9E4BA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BFC31F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514763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852AC2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35DD"/>
    <w:rsid w:val="00011CCE"/>
    <w:rsid w:val="002935DD"/>
    <w:rsid w:val="0097631C"/>
    <w:rsid w:val="009F5E71"/>
    <w:rsid w:val="00B51932"/>
    <w:rsid w:val="00BE5B01"/>
    <w:rsid w:val="00BF2BEA"/>
    <w:rsid w:val="00E05956"/>
    <w:rsid w:val="00E41FFB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5DD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2657</Characters>
  <Application>Microsoft Office Word</Application>
  <DocSecurity>0</DocSecurity>
  <Lines>22</Lines>
  <Paragraphs>6</Paragraphs>
  <ScaleCrop>false</ScaleCrop>
  <Company>HOME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2017-01-30T19:36:00Z</dcterms:created>
  <dcterms:modified xsi:type="dcterms:W3CDTF">2017-01-30T19:37:00Z</dcterms:modified>
</cp:coreProperties>
</file>